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3687" w14:textId="77777777" w:rsidR="00015337" w:rsidRDefault="00015337" w:rsidP="00015337">
      <w:pPr>
        <w:pStyle w:val="Heading1"/>
      </w:pPr>
      <w:bookmarkStart w:id="0" w:name="_Toc496884255"/>
      <w:r>
        <w:t>NOTICE</w:t>
      </w:r>
      <w:bookmarkEnd w:id="0"/>
    </w:p>
    <w:p w14:paraId="7EFB9EB9" w14:textId="77777777" w:rsidR="00015337" w:rsidRDefault="00015337" w:rsidP="00015337"/>
    <w:p w14:paraId="362B4F1E" w14:textId="1BB676D8" w:rsidR="00A71DD5" w:rsidRDefault="00A71DD5" w:rsidP="00A71DD5">
      <w:pPr>
        <w:jc w:val="both"/>
      </w:pPr>
      <w:r>
        <w:t xml:space="preserve">The Society of Cable Telecommunications Engineers (SCTE) Standards and Operational Practices (hereafter called “documents”) are intended to serve the public interest by providing specifications, test methods and procedures that promote uniformity of product, interoperability, interchangeability, best practices, and the </w:t>
      </w:r>
      <w:proofErr w:type="gramStart"/>
      <w:r>
        <w:t>long term</w:t>
      </w:r>
      <w:proofErr w:type="gramEnd"/>
      <w:r>
        <w:t xml:space="preserve"> reliability of broadband communications facilities. These documents shall not in any way preclude any member or non-member of SCTE from manufacturing or selling products not conforming to such documents, nor shall the existence of such standards preclude their voluntary use by those other than SCTE members.</w:t>
      </w:r>
    </w:p>
    <w:p w14:paraId="368714F4" w14:textId="4E3E2358" w:rsidR="00A71DD5" w:rsidRDefault="00A71DD5" w:rsidP="00A71DD5">
      <w:pPr>
        <w:jc w:val="both"/>
      </w:pPr>
      <w:r>
        <w:t>SCTE assumes no obligations or liability whatsoever to any party who may adopt the documents. Such adopting party assumes all risks associated with adoption of these documents and accepts full responsibility for any damage and/or claims arising from the adoption of such documents.</w:t>
      </w:r>
    </w:p>
    <w:p w14:paraId="773BB36C" w14:textId="050B6D0B" w:rsidR="00A71DD5" w:rsidRDefault="00A71DD5" w:rsidP="00A71DD5">
      <w:pPr>
        <w:jc w:val="both"/>
      </w:pPr>
      <w:r>
        <w:t xml:space="preserve">NOTE: The user’s attention is called to the possibility that compliance with this document may require the use of an invention covered by patent rights. By publication of this document,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w:t>
      </w:r>
      <w:proofErr w:type="gramStart"/>
      <w:r>
        <w:t>standards developer</w:t>
      </w:r>
      <w:proofErr w:type="gramEnd"/>
      <w:r>
        <w:t>. SCTE shall not be responsible for identifying patents for which a license may be required or for conducting inquiries into the legal validity or scope of those patents that are brought to its attention.</w:t>
      </w:r>
    </w:p>
    <w:p w14:paraId="485F2DD2" w14:textId="32CBF312" w:rsidR="00A71DD5" w:rsidRDefault="00A71DD5" w:rsidP="00A71DD5">
      <w:pPr>
        <w:jc w:val="both"/>
      </w:pPr>
      <w:r>
        <w:t>Patent holders who believe that they hold patents which are essential to the implementation of this document have been requested to provide information about those patents and any related licensing terms and conditions. Any such declarations made before or after publication of this document are available on the SCTE web site at https://scte.org.</w:t>
      </w:r>
    </w:p>
    <w:p w14:paraId="2B328A9A" w14:textId="77777777" w:rsidR="00015337" w:rsidRDefault="00015337" w:rsidP="00015337"/>
    <w:p w14:paraId="4CFC0E23" w14:textId="77777777" w:rsidR="00015337" w:rsidRDefault="00015337" w:rsidP="00015337"/>
    <w:p w14:paraId="0776DF2B" w14:textId="77777777" w:rsidR="0008192B" w:rsidRPr="005B65F4" w:rsidRDefault="0008192B" w:rsidP="0008192B">
      <w:pPr>
        <w:pStyle w:val="Norm-NoSpaceAbove"/>
        <w:jc w:val="center"/>
      </w:pPr>
      <w:r w:rsidRPr="005B65F4">
        <w:t>All Rights Reserved</w:t>
      </w:r>
    </w:p>
    <w:p w14:paraId="765C186F" w14:textId="78519D91" w:rsidR="0008192B" w:rsidRPr="00B73E70" w:rsidRDefault="0008192B" w:rsidP="0008192B">
      <w:pPr>
        <w:pStyle w:val="Norm-NoSpaceAbove"/>
        <w:jc w:val="center"/>
      </w:pPr>
      <w:r w:rsidRPr="005B65F4">
        <w:t>©</w:t>
      </w:r>
      <w:r>
        <w:t xml:space="preserve"> </w:t>
      </w:r>
      <w:r w:rsidRPr="00B73E70">
        <w:rPr>
          <w:color w:val="000000"/>
        </w:rPr>
        <w:t>202</w:t>
      </w:r>
      <w:r w:rsidR="009C2729">
        <w:rPr>
          <w:color w:val="000000"/>
        </w:rPr>
        <w:t>6</w:t>
      </w:r>
      <w:r>
        <w:rPr>
          <w:color w:val="000000"/>
        </w:rPr>
        <w:t xml:space="preserve"> </w:t>
      </w:r>
      <w:r w:rsidRPr="005B65F4">
        <w:t>Society of Cable Telecommunications Engineers, Inc.</w:t>
      </w:r>
      <w:r>
        <w:t xml:space="preserve"> </w:t>
      </w:r>
    </w:p>
    <w:p w14:paraId="3D52E8E1" w14:textId="77777777" w:rsidR="00D26029" w:rsidRDefault="00D26029" w:rsidP="0008192B">
      <w:pPr>
        <w:pStyle w:val="Norm-NoSpaceAbove"/>
        <w:jc w:val="center"/>
      </w:pPr>
      <w:r w:rsidRPr="00D26029">
        <w:t>858 Coal Creek Circle</w:t>
      </w:r>
    </w:p>
    <w:p w14:paraId="2DF50A6E" w14:textId="56980416" w:rsidR="0008192B" w:rsidRPr="005B65F4" w:rsidRDefault="00D26029" w:rsidP="0008192B">
      <w:pPr>
        <w:pStyle w:val="Norm-NoSpaceAbove"/>
        <w:jc w:val="center"/>
      </w:pPr>
      <w:r w:rsidRPr="00D26029">
        <w:t>Louisville, CO 80027</w:t>
      </w:r>
    </w:p>
    <w:p w14:paraId="046E0AD4" w14:textId="77777777" w:rsidR="004E66F6" w:rsidRDefault="004E66F6"/>
    <w:sectPr w:rsidR="004E6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A2"/>
    <w:rsid w:val="00015337"/>
    <w:rsid w:val="0008192B"/>
    <w:rsid w:val="001D5E13"/>
    <w:rsid w:val="00266E72"/>
    <w:rsid w:val="003355A1"/>
    <w:rsid w:val="00341114"/>
    <w:rsid w:val="003538C7"/>
    <w:rsid w:val="003A4EA2"/>
    <w:rsid w:val="004E66F6"/>
    <w:rsid w:val="008F06C5"/>
    <w:rsid w:val="009C2729"/>
    <w:rsid w:val="00A71DD5"/>
    <w:rsid w:val="00C167E4"/>
    <w:rsid w:val="00D26029"/>
    <w:rsid w:val="00DF1D48"/>
    <w:rsid w:val="00F9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AB31"/>
  <w15:chartTrackingRefBased/>
  <w15:docId w15:val="{078A7D36-C143-4F28-99D0-6855519F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A2"/>
    <w:pPr>
      <w:spacing w:before="220" w:after="0" w:line="240" w:lineRule="auto"/>
    </w:pPr>
    <w:rPr>
      <w:rFonts w:ascii="Times New Roman" w:hAnsi="Times New Roman" w:cs="Times New Roman"/>
      <w:szCs w:val="24"/>
      <w:lang w:eastAsia="ko-KR"/>
    </w:rPr>
  </w:style>
  <w:style w:type="paragraph" w:styleId="Heading1">
    <w:name w:val="heading 1"/>
    <w:basedOn w:val="Normal"/>
    <w:next w:val="Normal"/>
    <w:link w:val="Heading1Char"/>
    <w:qFormat/>
    <w:rsid w:val="003A4EA2"/>
    <w:pPr>
      <w:keepNext/>
      <w:spacing w:after="120"/>
      <w:jc w:val="center"/>
      <w:outlineLvl w:val="0"/>
    </w:pPr>
    <w:rPr>
      <w:rFonts w:ascii="Arial" w:hAnsi="Arial" w:cs="Arial"/>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EA2"/>
    <w:rPr>
      <w:rFonts w:ascii="Arial" w:hAnsi="Arial" w:cs="Arial"/>
      <w:b/>
      <w:sz w:val="40"/>
      <w:szCs w:val="40"/>
      <w:lang w:eastAsia="ko-KR"/>
    </w:rPr>
  </w:style>
  <w:style w:type="paragraph" w:customStyle="1" w:styleId="Norm-NoSpaceAbove">
    <w:name w:val="Norm-No Space Above"/>
    <w:basedOn w:val="Normal"/>
    <w:link w:val="Norm-NoSpaceAboveChar"/>
    <w:qFormat/>
    <w:rsid w:val="003A4EA2"/>
    <w:pPr>
      <w:spacing w:before="0"/>
    </w:pPr>
  </w:style>
  <w:style w:type="character" w:styleId="Hyperlink">
    <w:name w:val="Hyperlink"/>
    <w:basedOn w:val="DefaultParagraphFont"/>
    <w:uiPriority w:val="99"/>
    <w:rsid w:val="003A4EA2"/>
    <w:rPr>
      <w:color w:val="0563C1" w:themeColor="hyperlink"/>
      <w:u w:val="single"/>
    </w:rPr>
  </w:style>
  <w:style w:type="character" w:customStyle="1" w:styleId="Norm-NoSpaceAboveChar">
    <w:name w:val="Norm-No Space Above Char"/>
    <w:basedOn w:val="DefaultParagraphFont"/>
    <w:link w:val="Norm-NoSpaceAbove"/>
    <w:rsid w:val="0008192B"/>
    <w:rPr>
      <w:rFonts w:ascii="Times New Roman" w:hAnsi="Times New Roman" w:cs="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1839</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Yaletchko</dc:creator>
  <cp:keywords/>
  <dc:description/>
  <cp:lastModifiedBy>Mary Heenan</cp:lastModifiedBy>
  <cp:revision>2</cp:revision>
  <dcterms:created xsi:type="dcterms:W3CDTF">2026-01-14T15:14:00Z</dcterms:created>
  <dcterms:modified xsi:type="dcterms:W3CDTF">2026-01-14T15:14:00Z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2023-12-14T17:03:04Z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0b7a7ed3-0532-4de4-b9c5-699dfea550fc</vt:lpwstr>
  </property>
  <property fmtid="{D5CDD505-2E9C-101B-9397-08002B2CF9AE}" pid="8" name="MSIP_Label_7a379b39-1dfe-4b10-9107-2172af90bdab_ContentBits">
    <vt:lpwstr>0</vt:lpwstr>
  </property>
</Properties>
</file>